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4BED" w14:textId="77777777" w:rsidR="00194CFF" w:rsidRPr="00194CFF" w:rsidRDefault="00194CFF" w:rsidP="00194CFF">
      <w:pPr>
        <w:spacing w:before="100" w:beforeAutospacing="1" w:after="0" w:line="274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Standardul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performanta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pentru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activitatea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furnizare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a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gazelor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naturale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aprobat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prin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Ordinul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>presedintelui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ANRE nr. 37/2007</w:t>
      </w:r>
    </w:p>
    <w:p w14:paraId="668DC446" w14:textId="77777777" w:rsidR="00194CFF" w:rsidRPr="00194CFF" w:rsidRDefault="00194CFF" w:rsidP="00194CFF">
      <w:p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Conform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prevederilor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acestui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gram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standard,  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furnizorul</w:t>
      </w:r>
      <w:proofErr w:type="spellEnd"/>
      <w:proofErr w:type="gram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 gaze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naturale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are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urmatoarele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obligatii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:</w:t>
      </w:r>
    </w:p>
    <w:p w14:paraId="67AF90F6" w14:textId="77777777" w:rsidR="00194CFF" w:rsidRPr="00194CFF" w:rsidRDefault="00194CFF" w:rsidP="00194CFF">
      <w:pPr>
        <w:numPr>
          <w:ilvl w:val="0"/>
          <w:numId w:val="1"/>
        </w:num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de 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raspunde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solicitarii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primite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partea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oricarui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solicitant/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consumator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având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ca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obiect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incheierea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/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modificarea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unui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contract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furnizare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reglementata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/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negociata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gazelor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naturale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in termen de 15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zile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 la data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primirii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solicitarii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14:paraId="55591DE9" w14:textId="77777777" w:rsidR="00194CFF" w:rsidRPr="00194CFF" w:rsidRDefault="00194CFF" w:rsidP="00194CFF">
      <w:pPr>
        <w:numPr>
          <w:ilvl w:val="0"/>
          <w:numId w:val="1"/>
        </w:num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de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raspunde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sesizarilor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adresate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scris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consumatori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cu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privire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la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facturi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explicând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acestora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continutul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facturilor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cazul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in care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solicitarea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consumatorilor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se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dovedeste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 fi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intemeiata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de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proceda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la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recalcularea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facturilor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in termen de 15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zile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 la data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primirii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solicitarii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14:paraId="56DD46BD" w14:textId="77777777" w:rsidR="00194CFF" w:rsidRPr="00194CFF" w:rsidRDefault="00194CFF" w:rsidP="00194CFF">
      <w:pPr>
        <w:numPr>
          <w:ilvl w:val="0"/>
          <w:numId w:val="1"/>
        </w:num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de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raspunde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sesizarilor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oricarui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consumator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cu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privire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la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calitatea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gazelor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naturale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furnizate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in termen de 15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zile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de la data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primirii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solicitarii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14:paraId="01EFAB5D" w14:textId="77777777" w:rsidR="00194CFF" w:rsidRPr="00194CFF" w:rsidRDefault="00194CFF" w:rsidP="00194CFF">
      <w:pPr>
        <w:numPr>
          <w:ilvl w:val="0"/>
          <w:numId w:val="1"/>
        </w:num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de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raspunde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sesizarilor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oricarui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consumator cu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privire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la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functionarea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inlocuirea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remedierea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schimbarea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amplasamentului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contorului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si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altele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asemenea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termen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30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zile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la data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primirii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solicitarii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;</w:t>
      </w:r>
    </w:p>
    <w:p w14:paraId="628DB512" w14:textId="6B9721D6" w:rsidR="00194CFF" w:rsidRPr="00194CFF" w:rsidRDefault="00194CFF" w:rsidP="00194CFF">
      <w:pPr>
        <w:numPr>
          <w:ilvl w:val="0"/>
          <w:numId w:val="1"/>
        </w:num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de a informa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scris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consumatorul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/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solicitantul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legatura cu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penalitatile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exigibile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si de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efectua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plata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acestora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termen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20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zile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la data la care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obligatiile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furnizorului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au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devenit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scadente.</w:t>
      </w:r>
    </w:p>
    <w:p w14:paraId="71686CC6" w14:textId="77777777" w:rsidR="00194CFF" w:rsidRPr="00194CFF" w:rsidRDefault="00194CFF" w:rsidP="00194CFF">
      <w:p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situatia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care nu-si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indeplineste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aceste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obligatii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perioada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timp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specificata,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furnizorul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va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plati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consumatorului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urmatoarele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penalitati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:</w:t>
      </w:r>
    </w:p>
    <w:p w14:paraId="02EAB386" w14:textId="24C70234" w:rsidR="00194CFF" w:rsidRPr="00194CFF" w:rsidRDefault="00194CFF" w:rsidP="00194CFF">
      <w:p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4CFF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tbl>
      <w:tblPr>
        <w:tblW w:w="10125" w:type="dxa"/>
        <w:tblCellSpacing w:w="0" w:type="dxa"/>
        <w:tblBorders>
          <w:top w:val="outset" w:sz="6" w:space="0" w:color="CCDAE9"/>
          <w:left w:val="outset" w:sz="6" w:space="0" w:color="CCDAE9"/>
          <w:bottom w:val="outset" w:sz="6" w:space="0" w:color="CCDAE9"/>
          <w:right w:val="outset" w:sz="6" w:space="0" w:color="CCDA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318"/>
        <w:gridCol w:w="3791"/>
        <w:gridCol w:w="1399"/>
      </w:tblGrid>
      <w:tr w:rsidR="00194CFF" w:rsidRPr="00194CFF" w14:paraId="3B3E2B30" w14:textId="77777777" w:rsidTr="00194CFF">
        <w:trPr>
          <w:tblCellSpacing w:w="0" w:type="dxa"/>
        </w:trPr>
        <w:tc>
          <w:tcPr>
            <w:tcW w:w="61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00F5C7E4" w14:textId="637E9AE8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0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0022FBF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Obligatiile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1EEEB2E3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timp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specificata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4651628A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Suma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specificata</w:t>
            </w:r>
            <w:proofErr w:type="spellEnd"/>
          </w:p>
        </w:tc>
      </w:tr>
      <w:tr w:rsidR="00194CFF" w:rsidRPr="00194CFF" w14:paraId="70346A04" w14:textId="77777777" w:rsidTr="00194CFF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5B0BAF38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6A4DEEED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Contractarea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gazelor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4AD3F667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15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zile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de la data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primirii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solicitarii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40A0B45F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lei</w:t>
            </w:r>
          </w:p>
        </w:tc>
      </w:tr>
      <w:tr w:rsidR="00194CFF" w:rsidRPr="00194CFF" w14:paraId="23E258B9" w14:textId="77777777" w:rsidTr="00194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25D3FC90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508CE35F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47FBA328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1BAF01BC" w14:textId="0B09912C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lei</w:t>
            </w:r>
          </w:p>
        </w:tc>
      </w:tr>
      <w:tr w:rsidR="00194CFF" w:rsidRPr="00194CFF" w14:paraId="4C05FC5B" w14:textId="77777777" w:rsidTr="00194CFF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3D72795D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6BA6BB8D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Facturarea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contravalorii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gazelor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675F719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15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zile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de la data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primirii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solicitarii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2695630F" w14:textId="09130520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lei</w:t>
            </w:r>
          </w:p>
        </w:tc>
      </w:tr>
      <w:tr w:rsidR="00194CFF" w:rsidRPr="00194CFF" w14:paraId="54F9DC66" w14:textId="77777777" w:rsidTr="00194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1CAF1AF5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04A9F210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06B8071D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5CF598F5" w14:textId="39B862AF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lei</w:t>
            </w:r>
          </w:p>
        </w:tc>
      </w:tr>
      <w:tr w:rsidR="00194CFF" w:rsidRPr="00194CFF" w14:paraId="232E9B6D" w14:textId="77777777" w:rsidTr="00194CFF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10891664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62CABED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Calitatea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gazelor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2ACCACBE" w14:textId="71AEA70B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15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zile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de la data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primirii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solicitarii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br/>
            </w:r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090BC26E" w14:textId="544B382C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lei</w:t>
            </w:r>
          </w:p>
        </w:tc>
      </w:tr>
      <w:tr w:rsidR="00194CFF" w:rsidRPr="00194CFF" w14:paraId="6B6D1222" w14:textId="77777777" w:rsidTr="00194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4E0D778B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5AFEC41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90774DE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2E1B6136" w14:textId="64B6CE78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lei</w:t>
            </w:r>
          </w:p>
        </w:tc>
      </w:tr>
      <w:tr w:rsidR="00194CFF" w:rsidRPr="00194CFF" w14:paraId="611518AF" w14:textId="77777777" w:rsidTr="00194CFF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525D810F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05" w:type="dxa"/>
            <w:vMerge w:val="restart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682D0D10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Masurarea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gazelor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235B1F3E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30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zile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de la data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primirii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solicitarii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9CA4DBC" w14:textId="541BAD4E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lei</w:t>
            </w:r>
          </w:p>
        </w:tc>
      </w:tr>
      <w:tr w:rsidR="00194CFF" w:rsidRPr="00194CFF" w14:paraId="67E88788" w14:textId="77777777" w:rsidTr="00194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0160E74A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D95C311" w14:textId="77777777" w:rsidR="00194CFF" w:rsidRPr="00194CFF" w:rsidRDefault="00194CFF" w:rsidP="0019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7569646D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suplimentara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673E9BB6" w14:textId="44D46FC3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lei</w:t>
            </w:r>
          </w:p>
        </w:tc>
      </w:tr>
      <w:tr w:rsidR="00194CFF" w:rsidRPr="00194CFF" w14:paraId="23925323" w14:textId="77777777" w:rsidTr="00194CFF">
        <w:trPr>
          <w:tblCellSpacing w:w="0" w:type="dxa"/>
        </w:trPr>
        <w:tc>
          <w:tcPr>
            <w:tcW w:w="61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5EA45441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0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6141385F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Penalitati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datorate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pentru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neindeplinirea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obligatiilor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plata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furnizorului</w:t>
            </w:r>
            <w:proofErr w:type="spellEnd"/>
          </w:p>
        </w:tc>
        <w:tc>
          <w:tcPr>
            <w:tcW w:w="3780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1E1C90E5" w14:textId="77777777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de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data la care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obligatiile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devenit</w:t>
            </w:r>
            <w:proofErr w:type="spellEnd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scadente</w:t>
            </w:r>
            <w:proofErr w:type="spellEnd"/>
          </w:p>
        </w:tc>
        <w:tc>
          <w:tcPr>
            <w:tcW w:w="1395" w:type="dxa"/>
            <w:tcBorders>
              <w:top w:val="outset" w:sz="6" w:space="0" w:color="CCDAE9"/>
              <w:left w:val="outset" w:sz="6" w:space="0" w:color="CCDAE9"/>
              <w:bottom w:val="outset" w:sz="6" w:space="0" w:color="CCDAE9"/>
              <w:right w:val="outset" w:sz="6" w:space="0" w:color="CCDAE9"/>
            </w:tcBorders>
            <w:vAlign w:val="center"/>
            <w:hideMark/>
          </w:tcPr>
          <w:p w14:paraId="48EF68BF" w14:textId="24D0714B" w:rsidR="00194CFF" w:rsidRPr="00194CFF" w:rsidRDefault="00194CFF" w:rsidP="00194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lei</w:t>
            </w:r>
          </w:p>
        </w:tc>
      </w:tr>
    </w:tbl>
    <w:p w14:paraId="7DD47147" w14:textId="233721A8" w:rsidR="00194CFF" w:rsidRPr="00194CFF" w:rsidRDefault="00194CFF" w:rsidP="00194CFF">
      <w:p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4CFF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cazul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care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termenele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prevazute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se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implinesc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intr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-o zi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nelucratoare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</w:t>
      </w:r>
      <w:proofErr w:type="spellStart"/>
      <w:proofErr w:type="gram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acestea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  se</w:t>
      </w:r>
      <w:proofErr w:type="gram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decaleaza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mod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corespunzator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incepând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cu prima zi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lucratoare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.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asemenea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cererile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/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solicitarile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primite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furnizor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dupa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ora 16.00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dintr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-o zi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lucratoare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sau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la orice ora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din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zilele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nelucratoare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vor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fi considerate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primite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</w:t>
      </w:r>
    </w:p>
    <w:p w14:paraId="5A0AB231" w14:textId="77777777" w:rsidR="00194CFF" w:rsidRPr="00194CFF" w:rsidRDefault="00194CFF" w:rsidP="00194CFF">
      <w:p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urmatoarea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zi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lucratoare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.</w:t>
      </w:r>
    </w:p>
    <w:p w14:paraId="5A904635" w14:textId="01AC3C57" w:rsidR="00194CFF" w:rsidRPr="00194CFF" w:rsidRDefault="00194CFF" w:rsidP="00194CFF">
      <w:p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4CFF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>Solicitantii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 xml:space="preserve">/consumatorii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>au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>dreptul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 xml:space="preserve"> sa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>adreseze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>reclamatii</w:t>
      </w:r>
      <w:proofErr w:type="spellEnd"/>
      <w:r w:rsidRPr="00194CF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it-IT"/>
        </w:rPr>
        <w:t>:</w:t>
      </w:r>
    </w:p>
    <w:p w14:paraId="6BE255B7" w14:textId="77777777" w:rsidR="00194CFF" w:rsidRPr="00194CFF" w:rsidRDefault="00194CFF" w:rsidP="00194CFF">
      <w:pPr>
        <w:numPr>
          <w:ilvl w:val="0"/>
          <w:numId w:val="2"/>
        </w:num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furnizorului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, in legatura cu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nerespectarea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catre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acesta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obligatiilor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care ii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revin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conform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prevederilor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standardului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performanta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;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reclamatia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poate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fi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depusa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termen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maximum 30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zile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la data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exigibilitatii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obligatiei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;</w:t>
      </w:r>
    </w:p>
    <w:p w14:paraId="64FF2DFC" w14:textId="77777777" w:rsidR="00194CFF" w:rsidRPr="00194CFF" w:rsidRDefault="00194CFF" w:rsidP="00194CFF">
      <w:pPr>
        <w:numPr>
          <w:ilvl w:val="0"/>
          <w:numId w:val="2"/>
        </w:numPr>
        <w:spacing w:before="100" w:beforeAutospacing="1" w:after="0" w:line="274" w:lineRule="atLeas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ANRE, in legatura cu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nerespectarea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catre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furnizor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obligatiilor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care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revin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acestuia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conform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prevederilor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standardului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performanta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;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reclamatia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poate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fi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depusa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in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termen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maximum 60 de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zile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de la data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exigibilitatii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 xml:space="preserve"> </w:t>
      </w:r>
      <w:proofErr w:type="spellStart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obligatiei</w:t>
      </w:r>
      <w:proofErr w:type="spellEnd"/>
      <w:r w:rsidRPr="00194CFF">
        <w:rPr>
          <w:rFonts w:ascii="Times New Roman" w:eastAsia="Times New Roman" w:hAnsi="Times New Roman" w:cs="Times New Roman"/>
          <w:color w:val="393939"/>
          <w:sz w:val="24"/>
          <w:szCs w:val="24"/>
          <w:lang w:val="it-IT"/>
        </w:rPr>
        <w:t>.</w:t>
      </w:r>
    </w:p>
    <w:p w14:paraId="104B21FE" w14:textId="77777777" w:rsidR="00194CFF" w:rsidRPr="00194CFF" w:rsidRDefault="00194CFF">
      <w:pPr>
        <w:rPr>
          <w:lang w:val="it-IT"/>
        </w:rPr>
      </w:pPr>
    </w:p>
    <w:sectPr w:rsidR="00194CFF" w:rsidRPr="00194CFF" w:rsidSect="00194CFF">
      <w:pgSz w:w="12240" w:h="15840"/>
      <w:pgMar w:top="36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2CF"/>
    <w:multiLevelType w:val="multilevel"/>
    <w:tmpl w:val="2C9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C0B47"/>
    <w:multiLevelType w:val="multilevel"/>
    <w:tmpl w:val="881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849946">
    <w:abstractNumId w:val="1"/>
  </w:num>
  <w:num w:numId="2" w16cid:durableId="20121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FF"/>
    <w:rsid w:val="001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3650"/>
  <w15:chartTrackingRefBased/>
  <w15:docId w15:val="{F7C4B5B7-65A1-4571-ACF1-F7CF737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Gliga / Kolmar Agents</dc:creator>
  <cp:keywords/>
  <dc:description/>
  <cp:lastModifiedBy>Laurentiu Gliga / Kolmar Agents</cp:lastModifiedBy>
  <cp:revision>1</cp:revision>
  <dcterms:created xsi:type="dcterms:W3CDTF">2022-06-17T11:47:00Z</dcterms:created>
  <dcterms:modified xsi:type="dcterms:W3CDTF">2022-06-17T11:52:00Z</dcterms:modified>
</cp:coreProperties>
</file>