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0C50" w14:textId="77777777" w:rsidR="00F92F9B" w:rsidRDefault="000C42BA" w:rsidP="00F92F9B">
      <w:pPr>
        <w:spacing w:after="0"/>
        <w:jc w:val="center"/>
        <w:rPr>
          <w:rFonts w:ascii="Times New Roman" w:hAnsi="Times New Roman" w:cs="Times New Roman"/>
          <w:b/>
          <w:bCs/>
          <w:sz w:val="24"/>
          <w:szCs w:val="24"/>
        </w:rPr>
      </w:pPr>
      <w:r w:rsidRPr="00F92F9B">
        <w:rPr>
          <w:rFonts w:ascii="Times New Roman" w:hAnsi="Times New Roman" w:cs="Times New Roman"/>
          <w:b/>
          <w:bCs/>
          <w:sz w:val="24"/>
          <w:szCs w:val="24"/>
        </w:rPr>
        <w:t xml:space="preserve">Performance standard for natural gas supply activity </w:t>
      </w:r>
    </w:p>
    <w:p w14:paraId="3814D502" w14:textId="7E24BC46" w:rsidR="000C42BA" w:rsidRDefault="000C42BA" w:rsidP="00F92F9B">
      <w:pPr>
        <w:spacing w:after="0"/>
        <w:jc w:val="center"/>
        <w:rPr>
          <w:rFonts w:ascii="Times New Roman" w:hAnsi="Times New Roman" w:cs="Times New Roman"/>
          <w:b/>
          <w:bCs/>
          <w:sz w:val="24"/>
          <w:szCs w:val="24"/>
        </w:rPr>
      </w:pPr>
      <w:r w:rsidRPr="00F92F9B">
        <w:rPr>
          <w:rFonts w:ascii="Times New Roman" w:hAnsi="Times New Roman" w:cs="Times New Roman"/>
          <w:b/>
          <w:bCs/>
          <w:sz w:val="24"/>
          <w:szCs w:val="24"/>
        </w:rPr>
        <w:t>approved by ANRE President Order no. 37/2007</w:t>
      </w:r>
    </w:p>
    <w:p w14:paraId="6257B7F2" w14:textId="77777777" w:rsidR="00F92F9B" w:rsidRPr="00F92F9B" w:rsidRDefault="00F92F9B" w:rsidP="00F92F9B">
      <w:pPr>
        <w:spacing w:after="0"/>
        <w:jc w:val="center"/>
        <w:rPr>
          <w:rFonts w:ascii="Times New Roman" w:hAnsi="Times New Roman" w:cs="Times New Roman"/>
          <w:b/>
          <w:bCs/>
          <w:sz w:val="24"/>
          <w:szCs w:val="24"/>
        </w:rPr>
      </w:pPr>
    </w:p>
    <w:p w14:paraId="123C7177" w14:textId="77777777" w:rsidR="000C42BA" w:rsidRPr="00F92F9B" w:rsidRDefault="000C42BA" w:rsidP="000C42BA">
      <w:pPr>
        <w:rPr>
          <w:rFonts w:ascii="Times New Roman" w:hAnsi="Times New Roman" w:cs="Times New Roman"/>
          <w:sz w:val="24"/>
          <w:szCs w:val="24"/>
        </w:rPr>
      </w:pPr>
      <w:r w:rsidRPr="00F92F9B">
        <w:rPr>
          <w:rFonts w:ascii="Times New Roman" w:hAnsi="Times New Roman" w:cs="Times New Roman"/>
          <w:sz w:val="24"/>
          <w:szCs w:val="24"/>
        </w:rPr>
        <w:t>According to the provisions of this standard, the natural gas supplier has the following obligations:</w:t>
      </w:r>
    </w:p>
    <w:p w14:paraId="33D99D80" w14:textId="77777777" w:rsidR="000C42BA" w:rsidRPr="00F92F9B" w:rsidRDefault="000C42BA" w:rsidP="000C42BA">
      <w:pPr>
        <w:rPr>
          <w:rFonts w:ascii="Times New Roman" w:hAnsi="Times New Roman" w:cs="Times New Roman"/>
          <w:sz w:val="24"/>
          <w:szCs w:val="24"/>
        </w:rPr>
      </w:pPr>
      <w:r w:rsidRPr="00F92F9B">
        <w:rPr>
          <w:rFonts w:ascii="Times New Roman" w:hAnsi="Times New Roman" w:cs="Times New Roman"/>
          <w:sz w:val="24"/>
          <w:szCs w:val="24"/>
        </w:rPr>
        <w:t>- to respond to the request received from any applicant/consumer for the conclusion/modification of a regulated/negotiated natural gas supply contract, within 15 days from the date of receipt of the request;</w:t>
      </w:r>
    </w:p>
    <w:p w14:paraId="3E7C04FA" w14:textId="77777777" w:rsidR="000C42BA" w:rsidRPr="00F92F9B" w:rsidRDefault="000C42BA" w:rsidP="000C42BA">
      <w:pPr>
        <w:rPr>
          <w:rFonts w:ascii="Times New Roman" w:hAnsi="Times New Roman" w:cs="Times New Roman"/>
          <w:sz w:val="24"/>
          <w:szCs w:val="24"/>
        </w:rPr>
      </w:pPr>
      <w:r w:rsidRPr="00F92F9B">
        <w:rPr>
          <w:rFonts w:ascii="Times New Roman" w:hAnsi="Times New Roman" w:cs="Times New Roman"/>
          <w:sz w:val="24"/>
          <w:szCs w:val="24"/>
        </w:rPr>
        <w:t>- to respond to written complaints from consumers regarding invoices, explaining the content of the invoices and, if the consumer's request proves to be justified, to recalculate the invoices, within 15 days of receipt of the request;</w:t>
      </w:r>
    </w:p>
    <w:p w14:paraId="36D7BD9E" w14:textId="77777777" w:rsidR="000C42BA" w:rsidRPr="00F92F9B" w:rsidRDefault="000C42BA" w:rsidP="000C42BA">
      <w:pPr>
        <w:rPr>
          <w:rFonts w:ascii="Times New Roman" w:hAnsi="Times New Roman" w:cs="Times New Roman"/>
          <w:sz w:val="24"/>
          <w:szCs w:val="24"/>
        </w:rPr>
      </w:pPr>
      <w:r w:rsidRPr="00F92F9B">
        <w:rPr>
          <w:rFonts w:ascii="Times New Roman" w:hAnsi="Times New Roman" w:cs="Times New Roman"/>
          <w:sz w:val="24"/>
          <w:szCs w:val="24"/>
        </w:rPr>
        <w:t>- to reply to any consumer's complaints about the quality of the gas supplied, within 15 days of receipt of the request;</w:t>
      </w:r>
    </w:p>
    <w:p w14:paraId="0D92253A" w14:textId="77777777" w:rsidR="000C42BA" w:rsidRPr="00F92F9B" w:rsidRDefault="000C42BA" w:rsidP="000C42BA">
      <w:pPr>
        <w:rPr>
          <w:rFonts w:ascii="Times New Roman" w:hAnsi="Times New Roman" w:cs="Times New Roman"/>
          <w:sz w:val="24"/>
          <w:szCs w:val="24"/>
        </w:rPr>
      </w:pPr>
      <w:r w:rsidRPr="00F92F9B">
        <w:rPr>
          <w:rFonts w:ascii="Times New Roman" w:hAnsi="Times New Roman" w:cs="Times New Roman"/>
          <w:sz w:val="24"/>
          <w:szCs w:val="24"/>
        </w:rPr>
        <w:t>- to respond to any consumer's complaints regarding the operation, replacement, repair, change of meter location and the like, within 30 days of receipt of the request;</w:t>
      </w:r>
    </w:p>
    <w:p w14:paraId="3AAAD8D8" w14:textId="77777777" w:rsidR="000C42BA" w:rsidRPr="00F92F9B" w:rsidRDefault="000C42BA" w:rsidP="000C42BA">
      <w:pPr>
        <w:rPr>
          <w:rFonts w:ascii="Times New Roman" w:hAnsi="Times New Roman" w:cs="Times New Roman"/>
          <w:sz w:val="24"/>
          <w:szCs w:val="24"/>
        </w:rPr>
      </w:pPr>
      <w:r w:rsidRPr="00F92F9B">
        <w:rPr>
          <w:rFonts w:ascii="Times New Roman" w:hAnsi="Times New Roman" w:cs="Times New Roman"/>
          <w:sz w:val="24"/>
          <w:szCs w:val="24"/>
        </w:rPr>
        <w:t>- to inform the consumer/applicant in writing of the penalties due and to pay them within 20 days of the date on which the supplier's obligations became due.</w:t>
      </w:r>
    </w:p>
    <w:p w14:paraId="474DA7D7" w14:textId="77777777" w:rsidR="000C42BA" w:rsidRPr="00F92F9B" w:rsidRDefault="000C42BA" w:rsidP="000C42BA">
      <w:pPr>
        <w:rPr>
          <w:rFonts w:ascii="Times New Roman" w:hAnsi="Times New Roman" w:cs="Times New Roman"/>
          <w:sz w:val="24"/>
          <w:szCs w:val="24"/>
        </w:rPr>
      </w:pPr>
      <w:r w:rsidRPr="00F92F9B">
        <w:rPr>
          <w:rFonts w:ascii="Times New Roman" w:hAnsi="Times New Roman" w:cs="Times New Roman"/>
          <w:sz w:val="24"/>
          <w:szCs w:val="24"/>
        </w:rPr>
        <w:t>If the supplier does not fulfil these obligations within the specified period of time, the supplier shall pay the consumer the following penalties:</w:t>
      </w:r>
    </w:p>
    <w:tbl>
      <w:tblPr>
        <w:tblW w:w="10125" w:type="dxa"/>
        <w:tblCellSpacing w:w="0" w:type="dxa"/>
        <w:tblBorders>
          <w:top w:val="outset" w:sz="6" w:space="0" w:color="CCDAE9"/>
          <w:left w:val="outset" w:sz="6" w:space="0" w:color="CCDAE9"/>
          <w:bottom w:val="outset" w:sz="6" w:space="0" w:color="CCDAE9"/>
          <w:right w:val="outset" w:sz="6" w:space="0" w:color="CCDAE9"/>
        </w:tblBorders>
        <w:tblCellMar>
          <w:left w:w="0" w:type="dxa"/>
          <w:right w:w="0" w:type="dxa"/>
        </w:tblCellMar>
        <w:tblLook w:val="04A0" w:firstRow="1" w:lastRow="0" w:firstColumn="1" w:lastColumn="0" w:noHBand="0" w:noVBand="1"/>
      </w:tblPr>
      <w:tblGrid>
        <w:gridCol w:w="617"/>
        <w:gridCol w:w="4318"/>
        <w:gridCol w:w="3791"/>
        <w:gridCol w:w="1399"/>
      </w:tblGrid>
      <w:tr w:rsidR="000C42BA" w:rsidRPr="00F92F9B" w14:paraId="0E0E29AA" w14:textId="77777777" w:rsidTr="00F92F9B">
        <w:trPr>
          <w:tblCellSpacing w:w="0" w:type="dxa"/>
        </w:trPr>
        <w:tc>
          <w:tcPr>
            <w:tcW w:w="617" w:type="dxa"/>
            <w:tcBorders>
              <w:top w:val="outset" w:sz="6" w:space="0" w:color="CCDAE9"/>
              <w:left w:val="outset" w:sz="6" w:space="0" w:color="CCDAE9"/>
              <w:bottom w:val="outset" w:sz="6" w:space="0" w:color="CCDAE9"/>
              <w:right w:val="outset" w:sz="6" w:space="0" w:color="CCDAE9"/>
            </w:tcBorders>
            <w:vAlign w:val="center"/>
            <w:hideMark/>
          </w:tcPr>
          <w:p w14:paraId="58C4FD3E" w14:textId="08DA7414"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F92F9B">
              <w:rPr>
                <w:rFonts w:ascii="Times New Roman" w:eastAsia="Times New Roman" w:hAnsi="Times New Roman" w:cs="Times New Roman"/>
                <w:color w:val="000000"/>
                <w:sz w:val="24"/>
                <w:szCs w:val="24"/>
              </w:rPr>
              <w:t>Crt</w:t>
            </w:r>
            <w:proofErr w:type="spellEnd"/>
            <w:r w:rsidRPr="00F92F9B">
              <w:rPr>
                <w:rFonts w:ascii="Times New Roman" w:eastAsia="Times New Roman" w:hAnsi="Times New Roman" w:cs="Times New Roman"/>
                <w:color w:val="000000"/>
                <w:sz w:val="24"/>
                <w:szCs w:val="24"/>
              </w:rPr>
              <w:t>. No.</w:t>
            </w:r>
          </w:p>
        </w:tc>
        <w:tc>
          <w:tcPr>
            <w:tcW w:w="4318" w:type="dxa"/>
            <w:tcBorders>
              <w:top w:val="outset" w:sz="6" w:space="0" w:color="CCDAE9"/>
              <w:left w:val="outset" w:sz="6" w:space="0" w:color="CCDAE9"/>
              <w:bottom w:val="outset" w:sz="6" w:space="0" w:color="CCDAE9"/>
              <w:right w:val="outset" w:sz="6" w:space="0" w:color="CCDAE9"/>
            </w:tcBorders>
            <w:vAlign w:val="center"/>
            <w:hideMark/>
          </w:tcPr>
          <w:p w14:paraId="18340E90" w14:textId="6F4E3771"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Supplier’s obligation</w:t>
            </w:r>
          </w:p>
        </w:tc>
        <w:tc>
          <w:tcPr>
            <w:tcW w:w="3791" w:type="dxa"/>
            <w:tcBorders>
              <w:top w:val="outset" w:sz="6" w:space="0" w:color="CCDAE9"/>
              <w:left w:val="outset" w:sz="6" w:space="0" w:color="CCDAE9"/>
              <w:bottom w:val="outset" w:sz="6" w:space="0" w:color="CCDAE9"/>
              <w:right w:val="outset" w:sz="6" w:space="0" w:color="CCDAE9"/>
            </w:tcBorders>
            <w:vAlign w:val="center"/>
            <w:hideMark/>
          </w:tcPr>
          <w:p w14:paraId="201F7864" w14:textId="410534AA"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Specified time period</w:t>
            </w:r>
          </w:p>
        </w:tc>
        <w:tc>
          <w:tcPr>
            <w:tcW w:w="1399" w:type="dxa"/>
            <w:tcBorders>
              <w:top w:val="outset" w:sz="6" w:space="0" w:color="CCDAE9"/>
              <w:left w:val="outset" w:sz="6" w:space="0" w:color="CCDAE9"/>
              <w:bottom w:val="outset" w:sz="6" w:space="0" w:color="CCDAE9"/>
              <w:right w:val="outset" w:sz="6" w:space="0" w:color="CCDAE9"/>
            </w:tcBorders>
            <w:vAlign w:val="center"/>
            <w:hideMark/>
          </w:tcPr>
          <w:p w14:paraId="725A5224" w14:textId="49CB4616"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Specified amount</w:t>
            </w:r>
          </w:p>
        </w:tc>
      </w:tr>
      <w:tr w:rsidR="000C42BA" w:rsidRPr="00F92F9B" w14:paraId="003100AF" w14:textId="77777777" w:rsidTr="00F92F9B">
        <w:trPr>
          <w:tblCellSpacing w:w="0" w:type="dxa"/>
        </w:trPr>
        <w:tc>
          <w:tcPr>
            <w:tcW w:w="617" w:type="dxa"/>
            <w:vMerge w:val="restart"/>
            <w:tcBorders>
              <w:top w:val="outset" w:sz="6" w:space="0" w:color="CCDAE9"/>
              <w:left w:val="outset" w:sz="6" w:space="0" w:color="CCDAE9"/>
              <w:bottom w:val="outset" w:sz="6" w:space="0" w:color="CCDAE9"/>
              <w:right w:val="outset" w:sz="6" w:space="0" w:color="CCDAE9"/>
            </w:tcBorders>
            <w:vAlign w:val="center"/>
            <w:hideMark/>
          </w:tcPr>
          <w:p w14:paraId="50611887"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1.</w:t>
            </w:r>
          </w:p>
        </w:tc>
        <w:tc>
          <w:tcPr>
            <w:tcW w:w="4318" w:type="dxa"/>
            <w:vMerge w:val="restart"/>
            <w:tcBorders>
              <w:top w:val="outset" w:sz="6" w:space="0" w:color="CCDAE9"/>
              <w:left w:val="outset" w:sz="6" w:space="0" w:color="CCDAE9"/>
              <w:bottom w:val="outset" w:sz="6" w:space="0" w:color="CCDAE9"/>
              <w:right w:val="outset" w:sz="6" w:space="0" w:color="CCDAE9"/>
            </w:tcBorders>
            <w:vAlign w:val="center"/>
            <w:hideMark/>
          </w:tcPr>
          <w:p w14:paraId="37F6CE9B" w14:textId="1AF80408"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Gas contracting</w:t>
            </w:r>
          </w:p>
        </w:tc>
        <w:tc>
          <w:tcPr>
            <w:tcW w:w="3791" w:type="dxa"/>
            <w:tcBorders>
              <w:top w:val="outset" w:sz="6" w:space="0" w:color="CCDAE9"/>
              <w:left w:val="outset" w:sz="6" w:space="0" w:color="CCDAE9"/>
              <w:bottom w:val="outset" w:sz="6" w:space="0" w:color="CCDAE9"/>
              <w:right w:val="outset" w:sz="6" w:space="0" w:color="CCDAE9"/>
            </w:tcBorders>
            <w:vAlign w:val="center"/>
            <w:hideMark/>
          </w:tcPr>
          <w:p w14:paraId="1260E8CD" w14:textId="283B8892"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15 days from the date of receipt of the request</w:t>
            </w:r>
          </w:p>
        </w:tc>
        <w:tc>
          <w:tcPr>
            <w:tcW w:w="1399" w:type="dxa"/>
            <w:tcBorders>
              <w:top w:val="outset" w:sz="6" w:space="0" w:color="CCDAE9"/>
              <w:left w:val="outset" w:sz="6" w:space="0" w:color="CCDAE9"/>
              <w:bottom w:val="outset" w:sz="6" w:space="0" w:color="CCDAE9"/>
              <w:right w:val="outset" w:sz="6" w:space="0" w:color="CCDAE9"/>
            </w:tcBorders>
            <w:vAlign w:val="center"/>
            <w:hideMark/>
          </w:tcPr>
          <w:p w14:paraId="2ACFC7CE"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30 lei</w:t>
            </w:r>
          </w:p>
        </w:tc>
      </w:tr>
      <w:tr w:rsidR="000C42BA" w:rsidRPr="00F92F9B" w14:paraId="4920C8CE" w14:textId="77777777" w:rsidTr="00F92F9B">
        <w:trPr>
          <w:tblCellSpacing w:w="0" w:type="dxa"/>
        </w:trPr>
        <w:tc>
          <w:tcPr>
            <w:tcW w:w="0" w:type="auto"/>
            <w:vMerge/>
            <w:tcBorders>
              <w:top w:val="outset" w:sz="6" w:space="0" w:color="CCDAE9"/>
              <w:left w:val="outset" w:sz="6" w:space="0" w:color="CCDAE9"/>
              <w:bottom w:val="outset" w:sz="6" w:space="0" w:color="CCDAE9"/>
              <w:right w:val="outset" w:sz="6" w:space="0" w:color="CCDAE9"/>
            </w:tcBorders>
            <w:vAlign w:val="center"/>
            <w:hideMark/>
          </w:tcPr>
          <w:p w14:paraId="72F3DAB1" w14:textId="77777777" w:rsidR="000C42BA" w:rsidRPr="00F92F9B" w:rsidRDefault="000C42BA" w:rsidP="003D6990">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CCDAE9"/>
              <w:left w:val="outset" w:sz="6" w:space="0" w:color="CCDAE9"/>
              <w:bottom w:val="outset" w:sz="6" w:space="0" w:color="CCDAE9"/>
              <w:right w:val="outset" w:sz="6" w:space="0" w:color="CCDAE9"/>
            </w:tcBorders>
            <w:vAlign w:val="center"/>
            <w:hideMark/>
          </w:tcPr>
          <w:p w14:paraId="10199D16" w14:textId="77777777" w:rsidR="000C42BA" w:rsidRPr="00F92F9B" w:rsidRDefault="000C42BA" w:rsidP="003D6990">
            <w:pPr>
              <w:spacing w:after="0" w:line="240" w:lineRule="auto"/>
              <w:jc w:val="center"/>
              <w:rPr>
                <w:rFonts w:ascii="Times New Roman" w:eastAsia="Times New Roman" w:hAnsi="Times New Roman" w:cs="Times New Roman"/>
                <w:sz w:val="24"/>
                <w:szCs w:val="24"/>
              </w:rPr>
            </w:pPr>
          </w:p>
        </w:tc>
        <w:tc>
          <w:tcPr>
            <w:tcW w:w="3791" w:type="dxa"/>
            <w:tcBorders>
              <w:top w:val="outset" w:sz="6" w:space="0" w:color="CCDAE9"/>
              <w:left w:val="outset" w:sz="6" w:space="0" w:color="CCDAE9"/>
              <w:bottom w:val="outset" w:sz="6" w:space="0" w:color="CCDAE9"/>
              <w:right w:val="outset" w:sz="6" w:space="0" w:color="CCDAE9"/>
            </w:tcBorders>
            <w:vAlign w:val="center"/>
            <w:hideMark/>
          </w:tcPr>
          <w:p w14:paraId="41ABFC54" w14:textId="6EDCD331"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For each additional day</w:t>
            </w:r>
          </w:p>
        </w:tc>
        <w:tc>
          <w:tcPr>
            <w:tcW w:w="1399" w:type="dxa"/>
            <w:tcBorders>
              <w:top w:val="outset" w:sz="6" w:space="0" w:color="CCDAE9"/>
              <w:left w:val="outset" w:sz="6" w:space="0" w:color="CCDAE9"/>
              <w:bottom w:val="outset" w:sz="6" w:space="0" w:color="CCDAE9"/>
              <w:right w:val="outset" w:sz="6" w:space="0" w:color="CCDAE9"/>
            </w:tcBorders>
            <w:vAlign w:val="center"/>
            <w:hideMark/>
          </w:tcPr>
          <w:p w14:paraId="7DFC0A37"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5 lei</w:t>
            </w:r>
          </w:p>
        </w:tc>
      </w:tr>
      <w:tr w:rsidR="000C42BA" w:rsidRPr="00F92F9B" w14:paraId="4E5F5113" w14:textId="77777777" w:rsidTr="00F92F9B">
        <w:trPr>
          <w:tblCellSpacing w:w="0" w:type="dxa"/>
        </w:trPr>
        <w:tc>
          <w:tcPr>
            <w:tcW w:w="617" w:type="dxa"/>
            <w:vMerge w:val="restart"/>
            <w:tcBorders>
              <w:top w:val="outset" w:sz="6" w:space="0" w:color="CCDAE9"/>
              <w:left w:val="outset" w:sz="6" w:space="0" w:color="CCDAE9"/>
              <w:bottom w:val="outset" w:sz="6" w:space="0" w:color="CCDAE9"/>
              <w:right w:val="outset" w:sz="6" w:space="0" w:color="CCDAE9"/>
            </w:tcBorders>
            <w:vAlign w:val="center"/>
            <w:hideMark/>
          </w:tcPr>
          <w:p w14:paraId="09C4652D"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2.</w:t>
            </w:r>
          </w:p>
        </w:tc>
        <w:tc>
          <w:tcPr>
            <w:tcW w:w="4318" w:type="dxa"/>
            <w:vMerge w:val="restart"/>
            <w:tcBorders>
              <w:top w:val="outset" w:sz="6" w:space="0" w:color="CCDAE9"/>
              <w:left w:val="outset" w:sz="6" w:space="0" w:color="CCDAE9"/>
              <w:bottom w:val="outset" w:sz="6" w:space="0" w:color="CCDAE9"/>
              <w:right w:val="outset" w:sz="6" w:space="0" w:color="CCDAE9"/>
            </w:tcBorders>
            <w:vAlign w:val="center"/>
            <w:hideMark/>
          </w:tcPr>
          <w:p w14:paraId="4E6A16C2" w14:textId="4B4EC9D0"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Billing for the value of gas supplied</w:t>
            </w:r>
          </w:p>
        </w:tc>
        <w:tc>
          <w:tcPr>
            <w:tcW w:w="3791" w:type="dxa"/>
            <w:tcBorders>
              <w:top w:val="outset" w:sz="6" w:space="0" w:color="CCDAE9"/>
              <w:left w:val="outset" w:sz="6" w:space="0" w:color="CCDAE9"/>
              <w:bottom w:val="outset" w:sz="6" w:space="0" w:color="CCDAE9"/>
              <w:right w:val="outset" w:sz="6" w:space="0" w:color="CCDAE9"/>
            </w:tcBorders>
            <w:vAlign w:val="center"/>
            <w:hideMark/>
          </w:tcPr>
          <w:p w14:paraId="56F7FF25" w14:textId="0F4A3361"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15 days from the date of receipt of the request</w:t>
            </w:r>
          </w:p>
        </w:tc>
        <w:tc>
          <w:tcPr>
            <w:tcW w:w="1399" w:type="dxa"/>
            <w:tcBorders>
              <w:top w:val="outset" w:sz="6" w:space="0" w:color="CCDAE9"/>
              <w:left w:val="outset" w:sz="6" w:space="0" w:color="CCDAE9"/>
              <w:bottom w:val="outset" w:sz="6" w:space="0" w:color="CCDAE9"/>
              <w:right w:val="outset" w:sz="6" w:space="0" w:color="CCDAE9"/>
            </w:tcBorders>
            <w:vAlign w:val="center"/>
            <w:hideMark/>
          </w:tcPr>
          <w:p w14:paraId="03041326"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30 lei</w:t>
            </w:r>
          </w:p>
        </w:tc>
      </w:tr>
      <w:tr w:rsidR="000C42BA" w:rsidRPr="00F92F9B" w14:paraId="169F5BED" w14:textId="77777777" w:rsidTr="00F92F9B">
        <w:trPr>
          <w:tblCellSpacing w:w="0" w:type="dxa"/>
        </w:trPr>
        <w:tc>
          <w:tcPr>
            <w:tcW w:w="0" w:type="auto"/>
            <w:vMerge/>
            <w:tcBorders>
              <w:top w:val="outset" w:sz="6" w:space="0" w:color="CCDAE9"/>
              <w:left w:val="outset" w:sz="6" w:space="0" w:color="CCDAE9"/>
              <w:bottom w:val="outset" w:sz="6" w:space="0" w:color="CCDAE9"/>
              <w:right w:val="outset" w:sz="6" w:space="0" w:color="CCDAE9"/>
            </w:tcBorders>
            <w:vAlign w:val="center"/>
            <w:hideMark/>
          </w:tcPr>
          <w:p w14:paraId="39B62F8E" w14:textId="77777777" w:rsidR="000C42BA" w:rsidRPr="00F92F9B" w:rsidRDefault="000C42BA" w:rsidP="003D6990">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CCDAE9"/>
              <w:left w:val="outset" w:sz="6" w:space="0" w:color="CCDAE9"/>
              <w:bottom w:val="outset" w:sz="6" w:space="0" w:color="CCDAE9"/>
              <w:right w:val="outset" w:sz="6" w:space="0" w:color="CCDAE9"/>
            </w:tcBorders>
            <w:vAlign w:val="center"/>
            <w:hideMark/>
          </w:tcPr>
          <w:p w14:paraId="1D4B296A" w14:textId="77777777" w:rsidR="000C42BA" w:rsidRPr="00F92F9B" w:rsidRDefault="000C42BA" w:rsidP="003D6990">
            <w:pPr>
              <w:spacing w:after="0" w:line="240" w:lineRule="auto"/>
              <w:jc w:val="center"/>
              <w:rPr>
                <w:rFonts w:ascii="Times New Roman" w:eastAsia="Times New Roman" w:hAnsi="Times New Roman" w:cs="Times New Roman"/>
                <w:sz w:val="24"/>
                <w:szCs w:val="24"/>
              </w:rPr>
            </w:pPr>
          </w:p>
        </w:tc>
        <w:tc>
          <w:tcPr>
            <w:tcW w:w="3791" w:type="dxa"/>
            <w:tcBorders>
              <w:top w:val="outset" w:sz="6" w:space="0" w:color="CCDAE9"/>
              <w:left w:val="outset" w:sz="6" w:space="0" w:color="CCDAE9"/>
              <w:bottom w:val="outset" w:sz="6" w:space="0" w:color="CCDAE9"/>
              <w:right w:val="outset" w:sz="6" w:space="0" w:color="CCDAE9"/>
            </w:tcBorders>
            <w:vAlign w:val="center"/>
            <w:hideMark/>
          </w:tcPr>
          <w:p w14:paraId="67807E47" w14:textId="0A39FD69"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For each additional day</w:t>
            </w:r>
          </w:p>
        </w:tc>
        <w:tc>
          <w:tcPr>
            <w:tcW w:w="1399" w:type="dxa"/>
            <w:tcBorders>
              <w:top w:val="outset" w:sz="6" w:space="0" w:color="CCDAE9"/>
              <w:left w:val="outset" w:sz="6" w:space="0" w:color="CCDAE9"/>
              <w:bottom w:val="outset" w:sz="6" w:space="0" w:color="CCDAE9"/>
              <w:right w:val="outset" w:sz="6" w:space="0" w:color="CCDAE9"/>
            </w:tcBorders>
            <w:vAlign w:val="center"/>
            <w:hideMark/>
          </w:tcPr>
          <w:p w14:paraId="47796187"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5 lei</w:t>
            </w:r>
          </w:p>
        </w:tc>
      </w:tr>
      <w:tr w:rsidR="000C42BA" w:rsidRPr="00F92F9B" w14:paraId="2C690A75" w14:textId="77777777" w:rsidTr="00F92F9B">
        <w:trPr>
          <w:tblCellSpacing w:w="0" w:type="dxa"/>
        </w:trPr>
        <w:tc>
          <w:tcPr>
            <w:tcW w:w="617" w:type="dxa"/>
            <w:vMerge w:val="restart"/>
            <w:tcBorders>
              <w:top w:val="outset" w:sz="6" w:space="0" w:color="CCDAE9"/>
              <w:left w:val="outset" w:sz="6" w:space="0" w:color="CCDAE9"/>
              <w:bottom w:val="outset" w:sz="6" w:space="0" w:color="CCDAE9"/>
              <w:right w:val="outset" w:sz="6" w:space="0" w:color="CCDAE9"/>
            </w:tcBorders>
            <w:vAlign w:val="center"/>
            <w:hideMark/>
          </w:tcPr>
          <w:p w14:paraId="7A964B71"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3.</w:t>
            </w:r>
          </w:p>
        </w:tc>
        <w:tc>
          <w:tcPr>
            <w:tcW w:w="4318" w:type="dxa"/>
            <w:vMerge w:val="restart"/>
            <w:tcBorders>
              <w:top w:val="outset" w:sz="6" w:space="0" w:color="CCDAE9"/>
              <w:left w:val="outset" w:sz="6" w:space="0" w:color="CCDAE9"/>
              <w:bottom w:val="outset" w:sz="6" w:space="0" w:color="CCDAE9"/>
              <w:right w:val="outset" w:sz="6" w:space="0" w:color="CCDAE9"/>
            </w:tcBorders>
            <w:vAlign w:val="center"/>
            <w:hideMark/>
          </w:tcPr>
          <w:p w14:paraId="72D91EAA" w14:textId="0A171DA7" w:rsidR="000C42BA" w:rsidRPr="00F92F9B" w:rsidRDefault="00F92F9B"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sz w:val="24"/>
                <w:szCs w:val="24"/>
              </w:rPr>
              <w:t>Quality of gas supplied</w:t>
            </w:r>
          </w:p>
        </w:tc>
        <w:tc>
          <w:tcPr>
            <w:tcW w:w="3791" w:type="dxa"/>
            <w:tcBorders>
              <w:top w:val="outset" w:sz="6" w:space="0" w:color="CCDAE9"/>
              <w:left w:val="outset" w:sz="6" w:space="0" w:color="CCDAE9"/>
              <w:bottom w:val="outset" w:sz="6" w:space="0" w:color="CCDAE9"/>
              <w:right w:val="outset" w:sz="6" w:space="0" w:color="CCDAE9"/>
            </w:tcBorders>
            <w:vAlign w:val="center"/>
            <w:hideMark/>
          </w:tcPr>
          <w:p w14:paraId="0E7A6043" w14:textId="54B01738"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15 days from the date of receipt of the request</w:t>
            </w:r>
          </w:p>
        </w:tc>
        <w:tc>
          <w:tcPr>
            <w:tcW w:w="1399" w:type="dxa"/>
            <w:tcBorders>
              <w:top w:val="outset" w:sz="6" w:space="0" w:color="CCDAE9"/>
              <w:left w:val="outset" w:sz="6" w:space="0" w:color="CCDAE9"/>
              <w:bottom w:val="outset" w:sz="6" w:space="0" w:color="CCDAE9"/>
              <w:right w:val="outset" w:sz="6" w:space="0" w:color="CCDAE9"/>
            </w:tcBorders>
            <w:vAlign w:val="center"/>
            <w:hideMark/>
          </w:tcPr>
          <w:p w14:paraId="07CBB19A"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50 lei</w:t>
            </w:r>
          </w:p>
        </w:tc>
      </w:tr>
      <w:tr w:rsidR="000C42BA" w:rsidRPr="00F92F9B" w14:paraId="55EA6A95" w14:textId="77777777" w:rsidTr="00F92F9B">
        <w:trPr>
          <w:tblCellSpacing w:w="0" w:type="dxa"/>
        </w:trPr>
        <w:tc>
          <w:tcPr>
            <w:tcW w:w="0" w:type="auto"/>
            <w:vMerge/>
            <w:tcBorders>
              <w:top w:val="outset" w:sz="6" w:space="0" w:color="CCDAE9"/>
              <w:left w:val="outset" w:sz="6" w:space="0" w:color="CCDAE9"/>
              <w:bottom w:val="outset" w:sz="6" w:space="0" w:color="CCDAE9"/>
              <w:right w:val="outset" w:sz="6" w:space="0" w:color="CCDAE9"/>
            </w:tcBorders>
            <w:vAlign w:val="center"/>
            <w:hideMark/>
          </w:tcPr>
          <w:p w14:paraId="54C2F61B" w14:textId="77777777" w:rsidR="000C42BA" w:rsidRPr="00F92F9B" w:rsidRDefault="000C42BA" w:rsidP="003D6990">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CCDAE9"/>
              <w:left w:val="outset" w:sz="6" w:space="0" w:color="CCDAE9"/>
              <w:bottom w:val="outset" w:sz="6" w:space="0" w:color="CCDAE9"/>
              <w:right w:val="outset" w:sz="6" w:space="0" w:color="CCDAE9"/>
            </w:tcBorders>
            <w:vAlign w:val="center"/>
            <w:hideMark/>
          </w:tcPr>
          <w:p w14:paraId="56684E36" w14:textId="77777777" w:rsidR="000C42BA" w:rsidRPr="00F92F9B" w:rsidRDefault="000C42BA" w:rsidP="003D6990">
            <w:pPr>
              <w:spacing w:after="0" w:line="240" w:lineRule="auto"/>
              <w:jc w:val="center"/>
              <w:rPr>
                <w:rFonts w:ascii="Times New Roman" w:eastAsia="Times New Roman" w:hAnsi="Times New Roman" w:cs="Times New Roman"/>
                <w:sz w:val="24"/>
                <w:szCs w:val="24"/>
              </w:rPr>
            </w:pPr>
          </w:p>
        </w:tc>
        <w:tc>
          <w:tcPr>
            <w:tcW w:w="3791" w:type="dxa"/>
            <w:tcBorders>
              <w:top w:val="outset" w:sz="6" w:space="0" w:color="CCDAE9"/>
              <w:left w:val="outset" w:sz="6" w:space="0" w:color="CCDAE9"/>
              <w:bottom w:val="outset" w:sz="6" w:space="0" w:color="CCDAE9"/>
              <w:right w:val="outset" w:sz="6" w:space="0" w:color="CCDAE9"/>
            </w:tcBorders>
            <w:vAlign w:val="center"/>
            <w:hideMark/>
          </w:tcPr>
          <w:p w14:paraId="7A8D56BD" w14:textId="74084FB3"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For each additional day</w:t>
            </w:r>
          </w:p>
        </w:tc>
        <w:tc>
          <w:tcPr>
            <w:tcW w:w="1399" w:type="dxa"/>
            <w:tcBorders>
              <w:top w:val="outset" w:sz="6" w:space="0" w:color="CCDAE9"/>
              <w:left w:val="outset" w:sz="6" w:space="0" w:color="CCDAE9"/>
              <w:bottom w:val="outset" w:sz="6" w:space="0" w:color="CCDAE9"/>
              <w:right w:val="outset" w:sz="6" w:space="0" w:color="CCDAE9"/>
            </w:tcBorders>
            <w:vAlign w:val="center"/>
            <w:hideMark/>
          </w:tcPr>
          <w:p w14:paraId="1B458ACC"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10 lei</w:t>
            </w:r>
          </w:p>
        </w:tc>
      </w:tr>
      <w:tr w:rsidR="000C42BA" w:rsidRPr="00F92F9B" w14:paraId="595E7721" w14:textId="77777777" w:rsidTr="00F92F9B">
        <w:trPr>
          <w:tblCellSpacing w:w="0" w:type="dxa"/>
        </w:trPr>
        <w:tc>
          <w:tcPr>
            <w:tcW w:w="617" w:type="dxa"/>
            <w:vMerge w:val="restart"/>
            <w:tcBorders>
              <w:top w:val="outset" w:sz="6" w:space="0" w:color="CCDAE9"/>
              <w:left w:val="outset" w:sz="6" w:space="0" w:color="CCDAE9"/>
              <w:bottom w:val="outset" w:sz="6" w:space="0" w:color="CCDAE9"/>
              <w:right w:val="outset" w:sz="6" w:space="0" w:color="CCDAE9"/>
            </w:tcBorders>
            <w:vAlign w:val="center"/>
            <w:hideMark/>
          </w:tcPr>
          <w:p w14:paraId="1D07B1FE"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4.</w:t>
            </w:r>
          </w:p>
        </w:tc>
        <w:tc>
          <w:tcPr>
            <w:tcW w:w="4318" w:type="dxa"/>
            <w:vMerge w:val="restart"/>
            <w:tcBorders>
              <w:top w:val="outset" w:sz="6" w:space="0" w:color="CCDAE9"/>
              <w:left w:val="outset" w:sz="6" w:space="0" w:color="CCDAE9"/>
              <w:bottom w:val="outset" w:sz="6" w:space="0" w:color="CCDAE9"/>
              <w:right w:val="outset" w:sz="6" w:space="0" w:color="CCDAE9"/>
            </w:tcBorders>
            <w:vAlign w:val="center"/>
            <w:hideMark/>
          </w:tcPr>
          <w:p w14:paraId="4B442B46" w14:textId="71BCCBAD" w:rsidR="000C42BA" w:rsidRPr="00F92F9B" w:rsidRDefault="00F92F9B"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sz w:val="24"/>
                <w:szCs w:val="24"/>
              </w:rPr>
              <w:t>Metering of natural gas supplied</w:t>
            </w:r>
          </w:p>
        </w:tc>
        <w:tc>
          <w:tcPr>
            <w:tcW w:w="3791" w:type="dxa"/>
            <w:tcBorders>
              <w:top w:val="outset" w:sz="6" w:space="0" w:color="CCDAE9"/>
              <w:left w:val="outset" w:sz="6" w:space="0" w:color="CCDAE9"/>
              <w:bottom w:val="outset" w:sz="6" w:space="0" w:color="CCDAE9"/>
              <w:right w:val="outset" w:sz="6" w:space="0" w:color="CCDAE9"/>
            </w:tcBorders>
            <w:vAlign w:val="center"/>
            <w:hideMark/>
          </w:tcPr>
          <w:p w14:paraId="113CF9A5" w14:textId="2690E215"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30</w:t>
            </w:r>
            <w:r w:rsidRPr="00F92F9B">
              <w:rPr>
                <w:rFonts w:ascii="Times New Roman" w:eastAsia="Times New Roman" w:hAnsi="Times New Roman" w:cs="Times New Roman"/>
                <w:color w:val="000000"/>
                <w:sz w:val="24"/>
                <w:szCs w:val="24"/>
              </w:rPr>
              <w:t xml:space="preserve"> days from the date of receipt of the request</w:t>
            </w:r>
          </w:p>
        </w:tc>
        <w:tc>
          <w:tcPr>
            <w:tcW w:w="1399" w:type="dxa"/>
            <w:tcBorders>
              <w:top w:val="outset" w:sz="6" w:space="0" w:color="CCDAE9"/>
              <w:left w:val="outset" w:sz="6" w:space="0" w:color="CCDAE9"/>
              <w:bottom w:val="outset" w:sz="6" w:space="0" w:color="CCDAE9"/>
              <w:right w:val="outset" w:sz="6" w:space="0" w:color="CCDAE9"/>
            </w:tcBorders>
            <w:vAlign w:val="center"/>
            <w:hideMark/>
          </w:tcPr>
          <w:p w14:paraId="6B41E0EB"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30 lei</w:t>
            </w:r>
          </w:p>
        </w:tc>
      </w:tr>
      <w:tr w:rsidR="000C42BA" w:rsidRPr="00F92F9B" w14:paraId="0272C059" w14:textId="77777777" w:rsidTr="00F92F9B">
        <w:trPr>
          <w:tblCellSpacing w:w="0" w:type="dxa"/>
        </w:trPr>
        <w:tc>
          <w:tcPr>
            <w:tcW w:w="0" w:type="auto"/>
            <w:vMerge/>
            <w:tcBorders>
              <w:top w:val="outset" w:sz="6" w:space="0" w:color="CCDAE9"/>
              <w:left w:val="outset" w:sz="6" w:space="0" w:color="CCDAE9"/>
              <w:bottom w:val="outset" w:sz="6" w:space="0" w:color="CCDAE9"/>
              <w:right w:val="outset" w:sz="6" w:space="0" w:color="CCDAE9"/>
            </w:tcBorders>
            <w:vAlign w:val="center"/>
            <w:hideMark/>
          </w:tcPr>
          <w:p w14:paraId="180D0C3A" w14:textId="77777777" w:rsidR="000C42BA" w:rsidRPr="00F92F9B" w:rsidRDefault="000C42BA" w:rsidP="003D6990">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CCDAE9"/>
              <w:left w:val="outset" w:sz="6" w:space="0" w:color="CCDAE9"/>
              <w:bottom w:val="outset" w:sz="6" w:space="0" w:color="CCDAE9"/>
              <w:right w:val="outset" w:sz="6" w:space="0" w:color="CCDAE9"/>
            </w:tcBorders>
            <w:vAlign w:val="center"/>
            <w:hideMark/>
          </w:tcPr>
          <w:p w14:paraId="479ABB60" w14:textId="77777777" w:rsidR="000C42BA" w:rsidRPr="00F92F9B" w:rsidRDefault="000C42BA" w:rsidP="003D6990">
            <w:pPr>
              <w:spacing w:after="0" w:line="240" w:lineRule="auto"/>
              <w:jc w:val="center"/>
              <w:rPr>
                <w:rFonts w:ascii="Times New Roman" w:eastAsia="Times New Roman" w:hAnsi="Times New Roman" w:cs="Times New Roman"/>
                <w:sz w:val="24"/>
                <w:szCs w:val="24"/>
              </w:rPr>
            </w:pPr>
          </w:p>
        </w:tc>
        <w:tc>
          <w:tcPr>
            <w:tcW w:w="3791" w:type="dxa"/>
            <w:tcBorders>
              <w:top w:val="outset" w:sz="6" w:space="0" w:color="CCDAE9"/>
              <w:left w:val="outset" w:sz="6" w:space="0" w:color="CCDAE9"/>
              <w:bottom w:val="outset" w:sz="6" w:space="0" w:color="CCDAE9"/>
              <w:right w:val="outset" w:sz="6" w:space="0" w:color="CCDAE9"/>
            </w:tcBorders>
            <w:vAlign w:val="center"/>
            <w:hideMark/>
          </w:tcPr>
          <w:p w14:paraId="16133575" w14:textId="06481A6A"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For each additional day</w:t>
            </w:r>
          </w:p>
        </w:tc>
        <w:tc>
          <w:tcPr>
            <w:tcW w:w="1399" w:type="dxa"/>
            <w:tcBorders>
              <w:top w:val="outset" w:sz="6" w:space="0" w:color="CCDAE9"/>
              <w:left w:val="outset" w:sz="6" w:space="0" w:color="CCDAE9"/>
              <w:bottom w:val="outset" w:sz="6" w:space="0" w:color="CCDAE9"/>
              <w:right w:val="outset" w:sz="6" w:space="0" w:color="CCDAE9"/>
            </w:tcBorders>
            <w:vAlign w:val="center"/>
            <w:hideMark/>
          </w:tcPr>
          <w:p w14:paraId="79F68C56"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5 lei</w:t>
            </w:r>
          </w:p>
        </w:tc>
      </w:tr>
      <w:tr w:rsidR="000C42BA" w:rsidRPr="00F92F9B" w14:paraId="13BF6EF0" w14:textId="77777777" w:rsidTr="00F92F9B">
        <w:trPr>
          <w:tblCellSpacing w:w="0" w:type="dxa"/>
        </w:trPr>
        <w:tc>
          <w:tcPr>
            <w:tcW w:w="617" w:type="dxa"/>
            <w:tcBorders>
              <w:top w:val="outset" w:sz="6" w:space="0" w:color="CCDAE9"/>
              <w:left w:val="outset" w:sz="6" w:space="0" w:color="CCDAE9"/>
              <w:bottom w:val="outset" w:sz="6" w:space="0" w:color="CCDAE9"/>
              <w:right w:val="outset" w:sz="6" w:space="0" w:color="CCDAE9"/>
            </w:tcBorders>
            <w:vAlign w:val="center"/>
            <w:hideMark/>
          </w:tcPr>
          <w:p w14:paraId="0749C89D"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5.</w:t>
            </w:r>
          </w:p>
        </w:tc>
        <w:tc>
          <w:tcPr>
            <w:tcW w:w="4318" w:type="dxa"/>
            <w:tcBorders>
              <w:top w:val="outset" w:sz="6" w:space="0" w:color="CCDAE9"/>
              <w:left w:val="outset" w:sz="6" w:space="0" w:color="CCDAE9"/>
              <w:bottom w:val="outset" w:sz="6" w:space="0" w:color="CCDAE9"/>
              <w:right w:val="outset" w:sz="6" w:space="0" w:color="CCDAE9"/>
            </w:tcBorders>
            <w:vAlign w:val="center"/>
            <w:hideMark/>
          </w:tcPr>
          <w:p w14:paraId="34A1DDF2" w14:textId="2D6BABCB" w:rsidR="000C42BA" w:rsidRPr="00F92F9B" w:rsidRDefault="00F92F9B"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sz w:val="24"/>
                <w:szCs w:val="24"/>
              </w:rPr>
              <w:t>Penalties due for non-fulfilment of the supplier's payment obligations</w:t>
            </w:r>
          </w:p>
        </w:tc>
        <w:tc>
          <w:tcPr>
            <w:tcW w:w="3791" w:type="dxa"/>
            <w:tcBorders>
              <w:top w:val="outset" w:sz="6" w:space="0" w:color="CCDAE9"/>
              <w:left w:val="outset" w:sz="6" w:space="0" w:color="CCDAE9"/>
              <w:bottom w:val="outset" w:sz="6" w:space="0" w:color="CCDAE9"/>
              <w:right w:val="outset" w:sz="6" w:space="0" w:color="CCDAE9"/>
            </w:tcBorders>
            <w:vAlign w:val="center"/>
            <w:hideMark/>
          </w:tcPr>
          <w:p w14:paraId="40CC4C25" w14:textId="06F494EF"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20</w:t>
            </w:r>
            <w:r w:rsidRPr="00F92F9B">
              <w:rPr>
                <w:rFonts w:ascii="Times New Roman" w:eastAsia="Times New Roman" w:hAnsi="Times New Roman" w:cs="Times New Roman"/>
                <w:color w:val="000000"/>
                <w:sz w:val="24"/>
                <w:szCs w:val="24"/>
              </w:rPr>
              <w:t xml:space="preserve"> days from the date of receipt of the request</w:t>
            </w:r>
          </w:p>
        </w:tc>
        <w:tc>
          <w:tcPr>
            <w:tcW w:w="1399" w:type="dxa"/>
            <w:tcBorders>
              <w:top w:val="outset" w:sz="6" w:space="0" w:color="CCDAE9"/>
              <w:left w:val="outset" w:sz="6" w:space="0" w:color="CCDAE9"/>
              <w:bottom w:val="outset" w:sz="6" w:space="0" w:color="CCDAE9"/>
              <w:right w:val="outset" w:sz="6" w:space="0" w:color="CCDAE9"/>
            </w:tcBorders>
            <w:vAlign w:val="center"/>
            <w:hideMark/>
          </w:tcPr>
          <w:p w14:paraId="7891FDB8" w14:textId="77777777" w:rsidR="000C42BA" w:rsidRPr="00F92F9B" w:rsidRDefault="000C42BA" w:rsidP="003D6990">
            <w:pPr>
              <w:spacing w:before="100" w:beforeAutospacing="1" w:after="100" w:afterAutospacing="1" w:line="240" w:lineRule="auto"/>
              <w:jc w:val="center"/>
              <w:rPr>
                <w:rFonts w:ascii="Times New Roman" w:eastAsia="Times New Roman" w:hAnsi="Times New Roman" w:cs="Times New Roman"/>
                <w:sz w:val="24"/>
                <w:szCs w:val="24"/>
              </w:rPr>
            </w:pPr>
            <w:r w:rsidRPr="00F92F9B">
              <w:rPr>
                <w:rFonts w:ascii="Times New Roman" w:eastAsia="Times New Roman" w:hAnsi="Times New Roman" w:cs="Times New Roman"/>
                <w:color w:val="000000"/>
                <w:sz w:val="24"/>
                <w:szCs w:val="24"/>
              </w:rPr>
              <w:t>150 lei</w:t>
            </w:r>
          </w:p>
        </w:tc>
      </w:tr>
    </w:tbl>
    <w:p w14:paraId="6F778F65" w14:textId="4EC02B22" w:rsidR="000C42BA" w:rsidRPr="00F92F9B" w:rsidRDefault="000C42BA" w:rsidP="000C42BA">
      <w:pPr>
        <w:rPr>
          <w:rFonts w:ascii="Times New Roman" w:hAnsi="Times New Roman" w:cs="Times New Roman"/>
          <w:sz w:val="24"/>
          <w:szCs w:val="24"/>
        </w:rPr>
      </w:pPr>
    </w:p>
    <w:p w14:paraId="7067D713" w14:textId="77777777" w:rsidR="00F92F9B" w:rsidRPr="00F92F9B" w:rsidRDefault="00F92F9B" w:rsidP="00F92F9B">
      <w:pPr>
        <w:rPr>
          <w:rFonts w:ascii="Times New Roman" w:hAnsi="Times New Roman" w:cs="Times New Roman"/>
          <w:sz w:val="24"/>
          <w:szCs w:val="24"/>
        </w:rPr>
      </w:pPr>
      <w:r w:rsidRPr="00F92F9B">
        <w:rPr>
          <w:rFonts w:ascii="Times New Roman" w:hAnsi="Times New Roman" w:cs="Times New Roman"/>
          <w:sz w:val="24"/>
          <w:szCs w:val="24"/>
        </w:rPr>
        <w:t xml:space="preserve">If the deadlines are due on a non-working day, they shall be postponed accordingly, starting on the first working day. In addition, requests/requests received by the supplier after 16.00 on a working day or at any time on a non-working day will be deemed to have been received in </w:t>
      </w:r>
    </w:p>
    <w:p w14:paraId="5AB2E950" w14:textId="77777777" w:rsidR="00F92F9B" w:rsidRPr="00F92F9B" w:rsidRDefault="00F92F9B" w:rsidP="00F92F9B">
      <w:pPr>
        <w:rPr>
          <w:rFonts w:ascii="Times New Roman" w:hAnsi="Times New Roman" w:cs="Times New Roman"/>
          <w:sz w:val="24"/>
          <w:szCs w:val="24"/>
        </w:rPr>
      </w:pPr>
      <w:r w:rsidRPr="00F92F9B">
        <w:rPr>
          <w:rFonts w:ascii="Times New Roman" w:hAnsi="Times New Roman" w:cs="Times New Roman"/>
          <w:sz w:val="24"/>
          <w:szCs w:val="24"/>
        </w:rPr>
        <w:t>next working day.</w:t>
      </w:r>
    </w:p>
    <w:p w14:paraId="1CAD942E" w14:textId="77777777" w:rsidR="00F92F9B" w:rsidRPr="00F92F9B" w:rsidRDefault="00F92F9B" w:rsidP="00F92F9B">
      <w:pPr>
        <w:rPr>
          <w:rFonts w:ascii="Times New Roman" w:hAnsi="Times New Roman" w:cs="Times New Roman"/>
          <w:sz w:val="24"/>
          <w:szCs w:val="24"/>
        </w:rPr>
      </w:pPr>
      <w:r w:rsidRPr="00F92F9B">
        <w:rPr>
          <w:rFonts w:ascii="Times New Roman" w:hAnsi="Times New Roman" w:cs="Times New Roman"/>
          <w:sz w:val="24"/>
          <w:szCs w:val="24"/>
        </w:rPr>
        <w:t xml:space="preserve"> Applicants/consumers have the right to make complaints:</w:t>
      </w:r>
    </w:p>
    <w:p w14:paraId="4A1A74B0" w14:textId="77777777" w:rsidR="00F92F9B" w:rsidRPr="00F92F9B" w:rsidRDefault="00F92F9B" w:rsidP="00F92F9B">
      <w:pPr>
        <w:rPr>
          <w:rFonts w:ascii="Times New Roman" w:hAnsi="Times New Roman" w:cs="Times New Roman"/>
          <w:sz w:val="24"/>
          <w:szCs w:val="24"/>
        </w:rPr>
      </w:pPr>
      <w:r w:rsidRPr="00F92F9B">
        <w:rPr>
          <w:rFonts w:ascii="Times New Roman" w:hAnsi="Times New Roman" w:cs="Times New Roman"/>
          <w:sz w:val="24"/>
          <w:szCs w:val="24"/>
        </w:rPr>
        <w:t>- to the supplier, in relation to the supplier's failure to fulfil its obligations under the performance standard; the complaint may be lodged within a maximum of 30 days from the due date of the obligation;</w:t>
      </w:r>
    </w:p>
    <w:p w14:paraId="0E57A0D0" w14:textId="43AB6A35" w:rsidR="00F92F9B" w:rsidRPr="00F92F9B" w:rsidRDefault="00F92F9B" w:rsidP="00F92F9B">
      <w:pPr>
        <w:rPr>
          <w:rFonts w:ascii="Times New Roman" w:hAnsi="Times New Roman" w:cs="Times New Roman"/>
          <w:sz w:val="24"/>
          <w:szCs w:val="24"/>
        </w:rPr>
      </w:pPr>
      <w:r w:rsidRPr="00F92F9B">
        <w:rPr>
          <w:rFonts w:ascii="Times New Roman" w:hAnsi="Times New Roman" w:cs="Times New Roman"/>
          <w:sz w:val="24"/>
          <w:szCs w:val="24"/>
        </w:rPr>
        <w:t>- ANRE, in relation to the supplier's failure to comply with its obligations under the provisions of the performance standard; the complaint may be filed within a maximum of 60 days from the date on which the obligation becomes due.</w:t>
      </w:r>
    </w:p>
    <w:sectPr w:rsidR="00F92F9B" w:rsidRPr="00F92F9B" w:rsidSect="00194CFF">
      <w:pgSz w:w="12240" w:h="15840"/>
      <w:pgMar w:top="360" w:right="90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522CF"/>
    <w:multiLevelType w:val="multilevel"/>
    <w:tmpl w:val="2C9E0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C0B47"/>
    <w:multiLevelType w:val="multilevel"/>
    <w:tmpl w:val="881C0C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7849946">
    <w:abstractNumId w:val="1"/>
  </w:num>
  <w:num w:numId="2" w16cid:durableId="20121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FF"/>
    <w:rsid w:val="000C42BA"/>
    <w:rsid w:val="00194CFF"/>
    <w:rsid w:val="00F9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3650"/>
  <w15:chartTrackingRefBased/>
  <w15:docId w15:val="{F7C4B5B7-65A1-4571-ACF1-F7CF7377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Laurentiu Gliga / Kolmar Agents</dc:creator>
  <cp:keywords/>
  <dc:description/>
  <cp:lastModifiedBy>Laurentiu Gliga / Kolmar Agents</cp:lastModifiedBy>
  <cp:revision>3</cp:revision>
  <dcterms:created xsi:type="dcterms:W3CDTF">2022-06-17T11:47:00Z</dcterms:created>
  <dcterms:modified xsi:type="dcterms:W3CDTF">2022-06-26T11:56:00Z</dcterms:modified>
</cp:coreProperties>
</file>